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543DC">
      <w:pPr>
        <w:rPr>
          <w:rFonts w:ascii="黑体" w:hAnsi="黑体" w:eastAsia="黑体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  <w:highlight w:val="none"/>
        </w:rPr>
        <w:t>附件4</w:t>
      </w:r>
    </w:p>
    <w:p w14:paraId="541EA228">
      <w:pPr>
        <w:jc w:val="center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综合评分标准</w:t>
      </w:r>
    </w:p>
    <w:tbl>
      <w:tblPr>
        <w:tblStyle w:val="9"/>
        <w:tblW w:w="10807" w:type="dxa"/>
        <w:jc w:val="center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13"/>
        <w:gridCol w:w="1194"/>
        <w:gridCol w:w="2906"/>
        <w:gridCol w:w="807"/>
        <w:gridCol w:w="3562"/>
        <w:gridCol w:w="850"/>
        <w:gridCol w:w="675"/>
      </w:tblGrid>
      <w:tr w14:paraId="7C5E3DD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9" w:hRule="atLeast"/>
          <w:tblHeader/>
          <w:jc w:val="center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271578C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评审因素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6D39723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评审指标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07F453F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评审要点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1FF423C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分值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225DFFB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评分标准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00F2890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得分区间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A32BD47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得分</w:t>
            </w:r>
          </w:p>
        </w:tc>
      </w:tr>
      <w:tr w14:paraId="36E5B09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AE2228F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价格 10%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42868E5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投标报价（10分）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B6F52B9">
            <w:pPr>
              <w:snapToGrid w:val="0"/>
              <w:spacing w:before="120" w:after="12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符合招标文件要求，通过初步评审，以有效投标报价中的最低值为评标基准价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9D2EDE6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10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5298986">
            <w:pPr>
              <w:snapToGrid w:val="0"/>
              <w:spacing w:before="120" w:after="12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报价得分=评标基准价÷（投标报价或最终价格）×10；未通过初步评审或报价超出有效范围的不得分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284B9EB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0-10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EF7487A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25F0CE8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A40ADEE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商务部分 30%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EFE05C8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工作业绩（15分）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4D4906">
            <w:pPr>
              <w:snapToGrid w:val="0"/>
              <w:spacing w:before="120" w:after="12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近三年（自2023年1月1日以来）投标人承担的同类科学研究项目业绩（需提供合同复印件、项目验收报告等证明材料）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D441705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15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22680A3">
            <w:pPr>
              <w:snapToGrid w:val="0"/>
              <w:spacing w:before="120" w:after="12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每完成1项同类研究项目得3分，最多得15分；未提供有效证明材料的业绩不计分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B645D95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0-15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6F2CB4F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6CE23E3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1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2FF5FFF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D6BC80F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项目负责人经验（5分）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5363985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拟派项目负责人近三年（自2023年1月1日以来）主持同类科学研究项目情况（需提供合同、验收报告或成果证明材料）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9B978D9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5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B33AF25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每主持1项同类地质科学研究项目得1分，最多得5分；未提供有效证明材料的不计分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764A5F7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0-5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D04BFAF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2C33C7B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1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2F03D52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4BDD559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财务状况（5分）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D14BFC3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根据投标人提供的最新一期有效财务报告（复印件）进行评审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11C3857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5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27015EC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资产负债率≤0.5的得5分；0.5＜资产负债率≤0.6的得3分；0.6＜资产负债率≤0.7的得1分；资产负债率＞0.7或未提供有效财务报告的不得分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232D7BF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0-5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7E5B5EE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53C2B25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55" w:hRule="atLeast"/>
          <w:jc w:val="center"/>
        </w:trPr>
        <w:tc>
          <w:tcPr>
            <w:tcW w:w="8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B0B1FBB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98C1C21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组织分工与人员配置（5分）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80B6B65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人员专业结构、职称配置是否贴合研究需求，分工是否明确，核心技术人员资质是否满足项目要求（需提供人员名单、职称/资格证明材料）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71D6C7D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5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C0E22CB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拟派人员中，每有1名项目相关专业高级职称人员得1分，最多得5分；人员配置与项目需求不匹配的不得分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2990EF9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0-5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8C8C1E3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7C1AC52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B67DFA8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技术部分 60%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4A1555A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响应情况（10分）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4995EAB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对招标文件中研究项目核心要求（研究内容、技术指标、成果形式、服务期限等）的响应程度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336818A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10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FBE9004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基础分为6分；优于招标文件要求的，每有1条加1分，最高加4分；每出现1条负偏离，扣基础分2分；出现3条及以上负偏离的，本项不得分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EAF5C41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0-10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D75A68E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4D966E3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1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A165478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6FDB759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研究技术方案（18分）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94F6DD6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研究思路、技术路线、研究方法的科学性、可行性，研究内容的完整性（可提供相关技术证明文件）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C966F19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18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4A1C510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研究思路科学严谨，技术路线清晰可行，研究方法贴合地质研究实际且先进，内容全面无漏项：13-18分；</w:t>
            </w:r>
          </w:p>
          <w:p w14:paraId="4DCA1E02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研究思路较科学，技术路线基本可行，研究方法适用，内容较完整：6-12分；</w:t>
            </w:r>
          </w:p>
          <w:p w14:paraId="74655851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研究思路存在缺陷，技术路线不合理，研究方法不适用，内容有重大缺项：0-5分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1D783E8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0-18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7156D37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5A304EC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1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927732E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8E57EDD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研究技术要求与工作方法（10分）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89084AD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研究技术要求贴合研究核心需求，符合国家/行业/地方规范；工作方法与研究对象、研究场景适配，兼具全面性、合理性、可行性及针对性创新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AE5F427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10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67D6945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技术要求完全契合规范与项目需求，工作方法贴合地质研究实际（如野外调查、样品测试、数据分析环节适配性强），且含针对性创新点：8-10 分；</w:t>
            </w:r>
          </w:p>
          <w:p w14:paraId="5C50F303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技术要求基本符合规范与需求，工作方法适配性较好，无明显漏洞，具备常规可行性：4-7 分；</w:t>
            </w:r>
          </w:p>
          <w:p w14:paraId="6175F264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技术要求与规范 / 需求有偏差，工作方法与研究场景适配不足，或存在关键环节缺失：0-3 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61F4767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0-10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30769D7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5E0D635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1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025DC36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668DDD3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工作安排（7分）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606E724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工作阶段划分（如野外调查、样品测试、数据分析、成果编制等（具体以项目为准）是否合理，工作程序是否清晰，服务期限是否符合招标文件要求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B5F3755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01FAF6B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工作阶段划分合理，工作程序清晰，服务期限完全符合要求：6-7分；</w:t>
            </w:r>
          </w:p>
          <w:p w14:paraId="50F435C6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工作阶段划分较合理，工作程序较清晰，服务期限基本符合要求：3-5分；</w:t>
            </w:r>
          </w:p>
          <w:p w14:paraId="1241DAE5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工作阶段划分混乱，工作程序模糊，服务期限不符合要求：0-2分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531485D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0-7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AD2CBB8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1EC3DCE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1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5A6EC45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EFAF125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质量保证及保密措施（10分）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F76B2B2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项目质量管理体系（覆盖野外工作、实验测试、成果审核等环节）是否完善，职责是否明确；针对地质数据、研究资料的保密措施是否得当、可操作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9DBCC1F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10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3997739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质量管理体系完善、职责明确，保密措施科学得当、可操作性强：8-10分；</w:t>
            </w:r>
          </w:p>
          <w:p w14:paraId="5258900B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质量管理体系较完善、职责较明确，保密措施基本可行：4-7分；</w:t>
            </w:r>
          </w:p>
          <w:p w14:paraId="5E7F6226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质量管理体系存在重大缺陷、职责不清，无有效保密措施：0-3分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CFBE625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0-10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6D5486E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2291A73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93A7A6F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FF03E12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售后服务方案（5分）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CB9F9B1">
            <w:pPr>
              <w:snapToGrid w:val="0"/>
              <w:spacing w:before="120" w:after="12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针对研究成果的后续技术咨询、数据解释、成果补充说明等基础售后保障是否清晰可行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0358D86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5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188DD39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基础售后保障全面，明确响应时限与服务方式，能有效解决成果使用中的疑问：4-5 分；</w:t>
            </w:r>
          </w:p>
          <w:p w14:paraId="0132C878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具备基本售后保障，响应机制较清晰，可满足核心咨询需求：2-3 分；</w:t>
            </w:r>
          </w:p>
          <w:p w14:paraId="5EF0C6BD">
            <w:pPr>
              <w:snapToGrid w:val="0"/>
              <w:spacing w:before="120" w:after="1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无明确售后方案或无法保障基础咨询需求：0-1 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D092659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0-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539C17E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3342A20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B4069B8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合计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6A3E9FC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-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1F66E44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-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A4108E0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100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7DBAEC1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A853CBB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0-100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A7F6394">
            <w:pPr>
              <w:snapToGrid w:val="0"/>
              <w:spacing w:before="120" w:after="120"/>
              <w:jc w:val="center"/>
              <w:rPr>
                <w:rFonts w:ascii="仿宋" w:hAnsi="仿宋" w:eastAsia="仿宋" w:cs="仿宋"/>
                <w:b/>
                <w:szCs w:val="21"/>
              </w:rPr>
            </w:pPr>
          </w:p>
        </w:tc>
      </w:tr>
    </w:tbl>
    <w:p w14:paraId="505B1017">
      <w:pPr>
        <w:rPr>
          <w:rFonts w:ascii="仿宋" w:hAnsi="仿宋" w:eastAsia="仿宋"/>
          <w:sz w:val="32"/>
          <w:szCs w:val="32"/>
          <w:highlight w:val="yellow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algun Gothic">
    <w:altName w:val="方正书宋_GB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7087A">
    <w:pPr>
      <w:pStyle w:val="5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9F3"/>
    <w:rsid w:val="000F5886"/>
    <w:rsid w:val="00122860"/>
    <w:rsid w:val="001E3FC6"/>
    <w:rsid w:val="00376360"/>
    <w:rsid w:val="00456604"/>
    <w:rsid w:val="004B5E00"/>
    <w:rsid w:val="004E5AD3"/>
    <w:rsid w:val="00522678"/>
    <w:rsid w:val="00575323"/>
    <w:rsid w:val="00586BE0"/>
    <w:rsid w:val="005F4159"/>
    <w:rsid w:val="006F09F3"/>
    <w:rsid w:val="0071599A"/>
    <w:rsid w:val="007A51BF"/>
    <w:rsid w:val="007E5032"/>
    <w:rsid w:val="00827DB9"/>
    <w:rsid w:val="008402AA"/>
    <w:rsid w:val="00887517"/>
    <w:rsid w:val="008C4BCE"/>
    <w:rsid w:val="009B4E2B"/>
    <w:rsid w:val="009C33E9"/>
    <w:rsid w:val="009D1769"/>
    <w:rsid w:val="00B21DCB"/>
    <w:rsid w:val="00C7477A"/>
    <w:rsid w:val="00C76466"/>
    <w:rsid w:val="00CF3F98"/>
    <w:rsid w:val="00E15FC8"/>
    <w:rsid w:val="00E73EB2"/>
    <w:rsid w:val="03AC7708"/>
    <w:rsid w:val="051B3A21"/>
    <w:rsid w:val="09CD45A7"/>
    <w:rsid w:val="0BD53BE7"/>
    <w:rsid w:val="0C594245"/>
    <w:rsid w:val="0D181FDD"/>
    <w:rsid w:val="0EBF03F4"/>
    <w:rsid w:val="0F3D3F7D"/>
    <w:rsid w:val="15F73DAC"/>
    <w:rsid w:val="16944F00"/>
    <w:rsid w:val="17EDD68D"/>
    <w:rsid w:val="18354553"/>
    <w:rsid w:val="1CBF0C7E"/>
    <w:rsid w:val="21921F06"/>
    <w:rsid w:val="21FD1655"/>
    <w:rsid w:val="234A05BF"/>
    <w:rsid w:val="26A633F3"/>
    <w:rsid w:val="26BFF390"/>
    <w:rsid w:val="27786E27"/>
    <w:rsid w:val="27FA3C0E"/>
    <w:rsid w:val="2C387B4E"/>
    <w:rsid w:val="2DE7182C"/>
    <w:rsid w:val="2E33681F"/>
    <w:rsid w:val="31945827"/>
    <w:rsid w:val="31B25CAD"/>
    <w:rsid w:val="32D33460"/>
    <w:rsid w:val="341B5D8B"/>
    <w:rsid w:val="3538296D"/>
    <w:rsid w:val="388D2FD0"/>
    <w:rsid w:val="39C1742B"/>
    <w:rsid w:val="3CCC056A"/>
    <w:rsid w:val="3D6F6EFF"/>
    <w:rsid w:val="3FD11DF9"/>
    <w:rsid w:val="45921C25"/>
    <w:rsid w:val="49C820BA"/>
    <w:rsid w:val="4BCF5981"/>
    <w:rsid w:val="4D115B26"/>
    <w:rsid w:val="4DD9079E"/>
    <w:rsid w:val="50224327"/>
    <w:rsid w:val="58AB79B8"/>
    <w:rsid w:val="5F7EA3CE"/>
    <w:rsid w:val="5FF953A6"/>
    <w:rsid w:val="68727968"/>
    <w:rsid w:val="69FEAC92"/>
    <w:rsid w:val="6A694D9B"/>
    <w:rsid w:val="6AB51D8E"/>
    <w:rsid w:val="6BDF3113"/>
    <w:rsid w:val="6FE253D4"/>
    <w:rsid w:val="6FFE6D63"/>
    <w:rsid w:val="7AF53541"/>
    <w:rsid w:val="7DF931F3"/>
    <w:rsid w:val="7F9731FB"/>
    <w:rsid w:val="9BEDB439"/>
    <w:rsid w:val="B9BFEDF2"/>
    <w:rsid w:val="DEF815CF"/>
    <w:rsid w:val="DFBC013C"/>
    <w:rsid w:val="DFFB03B5"/>
    <w:rsid w:val="FD9BD45B"/>
    <w:rsid w:val="FFFBE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5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楷体_GB2312" w:hAnsi="Arial" w:eastAsia="楷体_GB2312"/>
      <w:b/>
      <w:sz w:val="32"/>
      <w:szCs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  <w:pPr>
      <w:tabs>
        <w:tab w:val="right" w:leader="dot" w:pos="8302"/>
      </w:tabs>
    </w:pPr>
  </w:style>
  <w:style w:type="paragraph" w:styleId="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8">
    <w:name w:val="Normal (Web)"/>
    <w:basedOn w:val="1"/>
    <w:semiHidden/>
    <w:unhideWhenUsed/>
    <w:qFormat/>
    <w:uiPriority w:val="99"/>
    <w:rPr>
      <w:sz w:val="24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unhideWhenUsed/>
    <w:qFormat/>
    <w:uiPriority w:val="99"/>
    <w:rPr>
      <w:color w:val="0000FF"/>
      <w:u w:val="single"/>
    </w:rPr>
  </w:style>
  <w:style w:type="character" w:customStyle="1" w:styleId="13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5">
    <w:name w:val="标题 2 字符"/>
    <w:basedOn w:val="10"/>
    <w:link w:val="2"/>
    <w:qFormat/>
    <w:uiPriority w:val="0"/>
    <w:rPr>
      <w:rFonts w:ascii="楷体_GB2312" w:hAnsi="Arial" w:eastAsia="楷体_GB2312" w:cs="Times New Roman"/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4697</Words>
  <Characters>4873</Characters>
  <Lines>76</Lines>
  <Paragraphs>21</Paragraphs>
  <TotalTime>19</TotalTime>
  <ScaleCrop>false</ScaleCrop>
  <LinksUpToDate>false</LinksUpToDate>
  <CharactersWithSpaces>5357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2026-01-30T02:35:00Z</dcterms:created>
  <dc:creator>ZLT</dc:creator>
  <cp:lastModifiedBy>qinlin</cp:lastModifiedBy>
  <dcterms:modified xsi:type="dcterms:W3CDTF">2026-03-10T14:35:37Z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7A1265AE81A043CD7516A9694B1F1E07_43</vt:lpwstr>
  </property>
  <property fmtid="{D5CDD505-2E9C-101B-9397-08002B2CF9AE}" pid="4" name="KSOTemplateDocerSaveRecord">
    <vt:lpwstr>eyJoZGlkIjoiNTgzMTE5MjQxNmMzNjEyYjYwMmRhZWUwM2I1YzJmMTIiLCJ1c2VySWQiOiIxNTg5OTk4NzMwIn0=</vt:lpwstr>
  </property>
</Properties>
</file>