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82869A">
      <w:pPr>
        <w:adjustRightInd w:val="0"/>
        <w:snapToGrid w:val="0"/>
        <w:spacing w:line="540" w:lineRule="exact"/>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附件1</w:t>
      </w:r>
    </w:p>
    <w:p w14:paraId="593051AA">
      <w:pPr>
        <w:adjustRightInd w:val="0"/>
        <w:snapToGrid w:val="0"/>
        <w:spacing w:line="540" w:lineRule="exact"/>
        <w:jc w:val="center"/>
        <w:rPr>
          <w:rFonts w:hint="eastAsia" w:ascii="方正小标宋简体" w:hAnsi="黑体" w:eastAsia="方正小标宋简体"/>
          <w:kern w:val="32"/>
          <w:sz w:val="44"/>
          <w:szCs w:val="44"/>
        </w:rPr>
      </w:pPr>
      <w:r>
        <w:rPr>
          <w:rFonts w:hint="eastAsia" w:ascii="方正小标宋简体" w:hAnsi="仿宋" w:eastAsia="方正小标宋简体"/>
          <w:snapToGrid w:val="0"/>
          <w:kern w:val="32"/>
          <w:sz w:val="44"/>
          <w:szCs w:val="44"/>
        </w:rPr>
        <w:t>技术要求</w:t>
      </w:r>
    </w:p>
    <w:p w14:paraId="2D6C4047">
      <w:pPr>
        <w:adjustRightInd w:val="0"/>
        <w:snapToGrid w:val="0"/>
        <w:spacing w:line="540" w:lineRule="exact"/>
        <w:rPr>
          <w:rFonts w:hint="eastAsia" w:ascii="黑体" w:hAnsi="黑体" w:eastAsia="黑体"/>
          <w:kern w:val="32"/>
        </w:rPr>
      </w:pPr>
    </w:p>
    <w:p w14:paraId="033C1B2D">
      <w:pPr>
        <w:snapToGrid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w:t>
      </w:r>
      <w:r>
        <w:rPr>
          <w:rFonts w:ascii="仿宋" w:hAnsi="仿宋" w:eastAsia="仿宋"/>
          <w:bCs/>
          <w:sz w:val="28"/>
          <w:szCs w:val="28"/>
        </w:rPr>
        <w:t>末次冰消期以来印度扇有机碳埋藏控制因素研究</w:t>
      </w:r>
      <w:r>
        <w:rPr>
          <w:rFonts w:hint="eastAsia" w:ascii="仿宋" w:hAnsi="仿宋" w:eastAsia="仿宋"/>
          <w:bCs/>
          <w:sz w:val="28"/>
          <w:szCs w:val="28"/>
          <w:lang w:eastAsia="zh-CN"/>
        </w:rPr>
        <w:t>（二次）</w:t>
      </w:r>
      <w:r>
        <w:rPr>
          <w:rFonts w:hint="eastAsia" w:ascii="仿宋" w:hAnsi="仿宋" w:eastAsia="仿宋"/>
          <w:bCs/>
          <w:sz w:val="28"/>
          <w:szCs w:val="28"/>
        </w:rPr>
        <w:t>”业务内容和技术要求</w:t>
      </w:r>
    </w:p>
    <w:p w14:paraId="03CCB978">
      <w:pPr>
        <w:snapToGrid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（一）业务名称</w:t>
      </w:r>
    </w:p>
    <w:p w14:paraId="0888688E">
      <w:pPr>
        <w:snapToGrid w:val="0"/>
        <w:spacing w:line="360" w:lineRule="auto"/>
        <w:ind w:firstLine="560" w:firstLineChars="200"/>
        <w:rPr>
          <w:rFonts w:hint="eastAsia" w:ascii="仿宋" w:hAnsi="仿宋" w:eastAsia="仿宋"/>
          <w:bCs/>
          <w:sz w:val="28"/>
          <w:szCs w:val="28"/>
          <w:lang w:eastAsia="zh-CN"/>
        </w:rPr>
      </w:pPr>
      <w:r>
        <w:rPr>
          <w:rFonts w:ascii="仿宋" w:hAnsi="仿宋" w:eastAsia="仿宋"/>
          <w:bCs/>
          <w:sz w:val="28"/>
          <w:szCs w:val="28"/>
        </w:rPr>
        <w:t>末次冰消期以来印度扇有机碳埋藏控制因素研究</w:t>
      </w:r>
      <w:r>
        <w:rPr>
          <w:rFonts w:hint="eastAsia" w:ascii="仿宋" w:hAnsi="仿宋" w:eastAsia="仿宋"/>
          <w:bCs/>
          <w:sz w:val="28"/>
          <w:szCs w:val="28"/>
          <w:lang w:eastAsia="zh-CN"/>
        </w:rPr>
        <w:t>（二次</w:t>
      </w:r>
      <w:bookmarkStart w:id="0" w:name="_GoBack"/>
      <w:bookmarkEnd w:id="0"/>
      <w:r>
        <w:rPr>
          <w:rFonts w:hint="eastAsia" w:ascii="仿宋" w:hAnsi="仿宋" w:eastAsia="仿宋"/>
          <w:bCs/>
          <w:sz w:val="28"/>
          <w:szCs w:val="28"/>
          <w:lang w:eastAsia="zh-CN"/>
        </w:rPr>
        <w:t>）</w:t>
      </w:r>
    </w:p>
    <w:p w14:paraId="2D823C85">
      <w:pPr>
        <w:snapToGrid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（二）主要工作内容和工作量</w:t>
      </w:r>
    </w:p>
    <w:p w14:paraId="7A06E27F">
      <w:pPr>
        <w:snapToGrid w:val="0"/>
        <w:spacing w:line="360" w:lineRule="auto"/>
        <w:ind w:firstLine="560" w:firstLineChars="200"/>
        <w:rPr>
          <w:rFonts w:eastAsia="仿宋"/>
          <w:bCs/>
          <w:sz w:val="28"/>
          <w:szCs w:val="28"/>
        </w:rPr>
      </w:pPr>
      <w:r>
        <w:rPr>
          <w:rFonts w:eastAsia="仿宋"/>
          <w:bCs/>
          <w:sz w:val="28"/>
          <w:szCs w:val="28"/>
        </w:rPr>
        <w:t>本研究旨在系统揭示末次冰消期以来北印度洋印度扇有机碳埋藏的主控因素及机制。</w:t>
      </w:r>
    </w:p>
    <w:p w14:paraId="752C1586">
      <w:pPr>
        <w:snapToGrid w:val="0"/>
        <w:spacing w:line="360" w:lineRule="auto"/>
        <w:ind w:firstLine="560" w:firstLineChars="200"/>
        <w:rPr>
          <w:rFonts w:eastAsia="仿宋"/>
          <w:bCs/>
          <w:sz w:val="28"/>
          <w:szCs w:val="28"/>
        </w:rPr>
      </w:pPr>
      <w:r>
        <w:rPr>
          <w:rFonts w:eastAsia="仿宋"/>
          <w:bCs/>
          <w:sz w:val="28"/>
          <w:szCs w:val="28"/>
        </w:rPr>
        <w:t>1. 具体工作内容与工作量如下：</w:t>
      </w:r>
    </w:p>
    <w:p w14:paraId="3742AB65">
      <w:pPr>
        <w:snapToGrid w:val="0"/>
        <w:spacing w:line="360" w:lineRule="auto"/>
        <w:ind w:firstLine="560" w:firstLineChars="200"/>
        <w:rPr>
          <w:rFonts w:eastAsia="仿宋"/>
          <w:bCs/>
          <w:sz w:val="28"/>
          <w:szCs w:val="28"/>
        </w:rPr>
      </w:pPr>
      <w:r>
        <w:rPr>
          <w:rFonts w:eastAsia="仿宋"/>
          <w:bCs/>
          <w:sz w:val="28"/>
          <w:szCs w:val="28"/>
        </w:rPr>
        <w:t>（1）高精度年代框架与沉积背景建立</w:t>
      </w:r>
    </w:p>
    <w:p w14:paraId="03A14F61">
      <w:pPr>
        <w:snapToGrid w:val="0"/>
        <w:spacing w:line="360" w:lineRule="auto"/>
        <w:ind w:firstLine="560" w:firstLineChars="200"/>
        <w:rPr>
          <w:rFonts w:eastAsia="仿宋"/>
          <w:sz w:val="28"/>
          <w:szCs w:val="28"/>
        </w:rPr>
      </w:pPr>
      <w:r>
        <w:rPr>
          <w:rFonts w:eastAsia="仿宋"/>
          <w:sz w:val="28"/>
          <w:szCs w:val="28"/>
        </w:rPr>
        <w:t>本研究将主要依据加速器质谱（AMS-</w:t>
      </w:r>
      <w:r>
        <w:rPr>
          <w:rFonts w:eastAsia="仿宋"/>
          <w:sz w:val="28"/>
          <w:szCs w:val="28"/>
          <w:vertAlign w:val="superscript"/>
        </w:rPr>
        <w:t>14</w:t>
      </w:r>
      <w:r>
        <w:rPr>
          <w:rFonts w:eastAsia="仿宋"/>
          <w:sz w:val="28"/>
          <w:szCs w:val="28"/>
        </w:rPr>
        <w:t>C）测年方法，从北印度洋印度扇沉积物柱状样中挑选至少4个层位的纯净贝壳样品进行AMS-</w:t>
      </w:r>
      <w:r>
        <w:rPr>
          <w:rFonts w:eastAsia="仿宋"/>
          <w:sz w:val="28"/>
          <w:szCs w:val="28"/>
          <w:vertAlign w:val="superscript"/>
        </w:rPr>
        <w:t>14</w:t>
      </w:r>
      <w:r>
        <w:rPr>
          <w:rFonts w:eastAsia="仿宋"/>
          <w:sz w:val="28"/>
          <w:szCs w:val="28"/>
        </w:rPr>
        <w:t>C测年，获取关键绝对年龄控制点。此外，选取顶部5个样品开展</w:t>
      </w:r>
      <w:r>
        <w:rPr>
          <w:rFonts w:eastAsia="仿宋"/>
          <w:sz w:val="28"/>
          <w:szCs w:val="28"/>
          <w:vertAlign w:val="superscript"/>
        </w:rPr>
        <w:t>210</w:t>
      </w:r>
      <w:r>
        <w:rPr>
          <w:rFonts w:eastAsia="仿宋"/>
          <w:sz w:val="28"/>
          <w:szCs w:val="28"/>
        </w:rPr>
        <w:t>Pb/</w:t>
      </w:r>
      <w:r>
        <w:rPr>
          <w:rFonts w:eastAsia="仿宋"/>
          <w:sz w:val="28"/>
          <w:szCs w:val="28"/>
          <w:vertAlign w:val="superscript"/>
        </w:rPr>
        <w:t>137</w:t>
      </w:r>
      <w:r>
        <w:rPr>
          <w:rFonts w:eastAsia="仿宋"/>
          <w:sz w:val="28"/>
          <w:szCs w:val="28"/>
        </w:rPr>
        <w:t>Cs测年，以进一步约束年代模型。结合柱状样的岩性描述分析，选取具有代表性的30个样品进行激光粒度分析。</w:t>
      </w:r>
    </w:p>
    <w:p w14:paraId="3EDD66BA">
      <w:pPr>
        <w:snapToGrid w:val="0"/>
        <w:spacing w:line="360" w:lineRule="auto"/>
        <w:ind w:firstLine="560" w:firstLineChars="200"/>
        <w:rPr>
          <w:rFonts w:eastAsia="仿宋"/>
          <w:sz w:val="28"/>
          <w:szCs w:val="28"/>
        </w:rPr>
      </w:pPr>
      <w:r>
        <w:rPr>
          <w:rFonts w:eastAsia="仿宋"/>
          <w:sz w:val="28"/>
          <w:szCs w:val="28"/>
        </w:rPr>
        <w:t>（2）有机碳埋藏历史重建</w:t>
      </w:r>
    </w:p>
    <w:p w14:paraId="5A55F71F">
      <w:pPr>
        <w:snapToGrid w:val="0"/>
        <w:spacing w:line="360" w:lineRule="auto"/>
        <w:ind w:firstLine="560" w:firstLineChars="200"/>
        <w:rPr>
          <w:rFonts w:eastAsia="仿宋"/>
          <w:sz w:val="28"/>
          <w:szCs w:val="28"/>
        </w:rPr>
      </w:pPr>
      <w:r>
        <w:rPr>
          <w:rFonts w:eastAsia="仿宋"/>
          <w:sz w:val="28"/>
          <w:szCs w:val="28"/>
        </w:rPr>
        <w:t>对北印度洋印度扇沉积物柱状样系统采集的60个样品进行总有机碳（TOC）和总氮（TN）含量测试，获取有机碳丰度的基础数据</w:t>
      </w:r>
      <w:r>
        <w:rPr>
          <w:rFonts w:hint="eastAsia" w:eastAsia="仿宋"/>
          <w:sz w:val="28"/>
          <w:szCs w:val="28"/>
          <w:lang w:eastAsia="zh-CN"/>
        </w:rPr>
        <w:t>，</w:t>
      </w:r>
      <w:r>
        <w:rPr>
          <w:rFonts w:eastAsia="仿宋"/>
          <w:sz w:val="28"/>
          <w:szCs w:val="28"/>
        </w:rPr>
        <w:t>进而计算关键的有机碳堆积速率。并选取30个关键层位样品</w:t>
      </w:r>
      <w:r>
        <w:rPr>
          <w:rFonts w:hint="eastAsia" w:eastAsia="仿宋"/>
          <w:sz w:val="28"/>
          <w:szCs w:val="28"/>
          <w:lang w:eastAsia="zh-CN"/>
        </w:rPr>
        <w:t>，</w:t>
      </w:r>
      <w:r>
        <w:rPr>
          <w:rFonts w:eastAsia="仿宋"/>
          <w:sz w:val="28"/>
          <w:szCs w:val="28"/>
        </w:rPr>
        <w:t>进行有机质稳定碳同位素（δ</w:t>
      </w:r>
      <w:r>
        <w:rPr>
          <w:rFonts w:eastAsia="仿宋"/>
          <w:sz w:val="28"/>
          <w:szCs w:val="28"/>
          <w:vertAlign w:val="superscript"/>
        </w:rPr>
        <w:t>13</w:t>
      </w:r>
      <w:r>
        <w:rPr>
          <w:rFonts w:eastAsia="仿宋"/>
          <w:sz w:val="28"/>
          <w:szCs w:val="28"/>
        </w:rPr>
        <w:t>Corg）分析，进而重建有机碳埋藏历史。</w:t>
      </w:r>
    </w:p>
    <w:p w14:paraId="0037DD36">
      <w:pPr>
        <w:snapToGrid w:val="0"/>
        <w:spacing w:line="360" w:lineRule="auto"/>
        <w:ind w:firstLine="560" w:firstLineChars="200"/>
        <w:rPr>
          <w:rFonts w:eastAsia="仿宋"/>
          <w:sz w:val="28"/>
          <w:szCs w:val="28"/>
        </w:rPr>
      </w:pPr>
      <w:r>
        <w:rPr>
          <w:rFonts w:hint="eastAsia" w:eastAsia="仿宋"/>
          <w:sz w:val="28"/>
          <w:szCs w:val="28"/>
        </w:rPr>
        <w:t>（3）</w:t>
      </w:r>
      <w:r>
        <w:rPr>
          <w:rFonts w:eastAsia="仿宋"/>
          <w:sz w:val="28"/>
          <w:szCs w:val="28"/>
        </w:rPr>
        <w:t>有机碳埋藏主要控制因素及机制分析</w:t>
      </w:r>
    </w:p>
    <w:p w14:paraId="4AF4EA8A">
      <w:pPr>
        <w:adjustRightInd w:val="0"/>
        <w:snapToGrid w:val="0"/>
        <w:spacing w:line="360" w:lineRule="auto"/>
        <w:ind w:firstLine="560" w:firstLineChars="200"/>
        <w:rPr>
          <w:rFonts w:eastAsia="仿宋"/>
          <w:sz w:val="28"/>
          <w:szCs w:val="28"/>
        </w:rPr>
      </w:pPr>
      <w:r>
        <w:rPr>
          <w:rFonts w:eastAsia="仿宋"/>
          <w:sz w:val="28"/>
          <w:szCs w:val="28"/>
        </w:rPr>
        <w:t>对50个样品进行X 射线荧光光谱（XRF）主量元素测试，计算陆源碎屑物质的堆积速率。选取20 个样品</w:t>
      </w:r>
      <w:r>
        <w:rPr>
          <w:rFonts w:hint="eastAsia" w:eastAsia="仿宋"/>
          <w:sz w:val="28"/>
          <w:szCs w:val="28"/>
        </w:rPr>
        <w:t>分别</w:t>
      </w:r>
      <w:r>
        <w:rPr>
          <w:rFonts w:eastAsia="仿宋"/>
          <w:sz w:val="28"/>
          <w:szCs w:val="28"/>
        </w:rPr>
        <w:t>进行</w:t>
      </w:r>
      <w:r>
        <w:rPr>
          <w:rFonts w:hint="eastAsia" w:eastAsia="仿宋"/>
          <w:sz w:val="28"/>
          <w:szCs w:val="28"/>
        </w:rPr>
        <w:t>黏土</w:t>
      </w:r>
      <w:r>
        <w:rPr>
          <w:rFonts w:eastAsia="仿宋"/>
          <w:sz w:val="28"/>
          <w:szCs w:val="28"/>
        </w:rPr>
        <w:t>矿物X射线衍射（XRD）分析和沉积物Sr-Nd 同位素组成分析，示踪沉积物源区变化。选取20 个样品</w:t>
      </w:r>
      <w:r>
        <w:rPr>
          <w:rFonts w:hint="eastAsia" w:eastAsia="仿宋"/>
          <w:sz w:val="28"/>
          <w:szCs w:val="28"/>
        </w:rPr>
        <w:t>，</w:t>
      </w:r>
      <w:r>
        <w:rPr>
          <w:rFonts w:eastAsia="仿宋"/>
          <w:sz w:val="28"/>
          <w:szCs w:val="28"/>
        </w:rPr>
        <w:t>对氧化还原敏感的关键微量元素含量测定，并对其中20 个样品进行沉积物中铁化学形态的连续提取分析，探讨氧化还原条件变化。将有机碳埋藏记录与气候演化序列进行关键关联，并进一步探讨北印度洋印度扇有机碳埋藏的主控因素及机制。</w:t>
      </w:r>
    </w:p>
    <w:p w14:paraId="7373C0BB">
      <w:pPr>
        <w:adjustRightInd w:val="0"/>
        <w:snapToGrid w:val="0"/>
        <w:spacing w:line="360" w:lineRule="auto"/>
        <w:ind w:firstLine="560" w:firstLineChars="200"/>
        <w:rPr>
          <w:rFonts w:eastAsia="仿宋"/>
          <w:sz w:val="28"/>
          <w:szCs w:val="28"/>
        </w:rPr>
      </w:pPr>
      <w:r>
        <w:rPr>
          <w:rFonts w:hint="eastAsia" w:eastAsia="仿宋"/>
          <w:sz w:val="28"/>
          <w:szCs w:val="28"/>
        </w:rPr>
        <w:t>2.上述工作量及测试内容为保底工作量，为了支撑本研究目标，可扩大测试内容及数量。</w:t>
      </w:r>
    </w:p>
    <w:p w14:paraId="5925305E">
      <w:pPr>
        <w:adjustRightInd w:val="0"/>
        <w:snapToGrid w:val="0"/>
        <w:spacing w:line="360" w:lineRule="auto"/>
        <w:ind w:firstLine="560" w:firstLineChars="200"/>
        <w:rPr>
          <w:rFonts w:hint="eastAsia" w:ascii="仿宋" w:hAnsi="仿宋" w:eastAsia="仿宋"/>
          <w:bCs/>
          <w:sz w:val="28"/>
          <w:szCs w:val="28"/>
        </w:rPr>
      </w:pPr>
      <w:r>
        <w:rPr>
          <w:rFonts w:hint="eastAsia" w:eastAsia="仿宋"/>
          <w:sz w:val="28"/>
          <w:szCs w:val="28"/>
        </w:rPr>
        <w:t>3.需提供上述所有测试分析数据，并完成研究报告1份。</w:t>
      </w:r>
    </w:p>
    <w:p w14:paraId="3841BADF">
      <w:pPr>
        <w:adjustRightInd w:val="0"/>
        <w:snapToGrid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（三）其他技术要求</w:t>
      </w:r>
    </w:p>
    <w:p w14:paraId="5001ABF5">
      <w:pPr>
        <w:adjustRightInd w:val="0"/>
        <w:snapToGrid w:val="0"/>
        <w:spacing w:line="360" w:lineRule="auto"/>
        <w:ind w:firstLine="560" w:firstLineChars="200"/>
        <w:rPr>
          <w:rFonts w:eastAsia="仿宋"/>
          <w:bCs/>
          <w:sz w:val="28"/>
          <w:szCs w:val="28"/>
        </w:rPr>
      </w:pPr>
      <w:r>
        <w:rPr>
          <w:rFonts w:ascii="仿宋" w:hAnsi="仿宋" w:eastAsia="仿宋"/>
          <w:bCs/>
          <w:sz w:val="28"/>
          <w:szCs w:val="28"/>
        </w:rPr>
        <w:t>为确保本项目研究目标的顺利实现及最终成果的科学价值，除完成既定样品测试分析外，执行方在技术服务过程中应满足以下技术要</w:t>
      </w:r>
      <w:r>
        <w:rPr>
          <w:rFonts w:eastAsia="仿宋"/>
          <w:bCs/>
          <w:sz w:val="28"/>
          <w:szCs w:val="28"/>
        </w:rPr>
        <w:t>求：</w:t>
      </w:r>
    </w:p>
    <w:p w14:paraId="6B2EB9A8">
      <w:pPr>
        <w:snapToGrid w:val="0"/>
        <w:spacing w:line="360" w:lineRule="auto"/>
        <w:ind w:firstLine="560" w:firstLineChars="200"/>
        <w:rPr>
          <w:rFonts w:eastAsia="仿宋"/>
          <w:bCs/>
          <w:sz w:val="28"/>
          <w:szCs w:val="28"/>
        </w:rPr>
      </w:pPr>
      <w:r>
        <w:rPr>
          <w:rFonts w:eastAsia="仿宋"/>
          <w:bCs/>
          <w:sz w:val="28"/>
          <w:szCs w:val="28"/>
        </w:rPr>
        <w:t>1.所有测试分析应遵循相关领域国际或国内通用标准规范。执行方需建立并实施完整的质量控制流程，确保所提供数据的准确性、精密度及可追溯性。对于关键测试项目，应提供必要的质控报告或标准物质比对结果。</w:t>
      </w:r>
    </w:p>
    <w:p w14:paraId="7A955232">
      <w:pPr>
        <w:snapToGrid w:val="0"/>
        <w:spacing w:line="360" w:lineRule="auto"/>
        <w:ind w:firstLine="560" w:firstLineChars="200"/>
        <w:rPr>
          <w:rFonts w:eastAsia="仿宋"/>
          <w:bCs/>
          <w:sz w:val="28"/>
          <w:szCs w:val="28"/>
        </w:rPr>
      </w:pPr>
      <w:r>
        <w:rPr>
          <w:rFonts w:eastAsia="仿宋"/>
          <w:bCs/>
          <w:sz w:val="28"/>
          <w:szCs w:val="28"/>
        </w:rPr>
        <w:t>2.所有测试产生的原始数据需一并提交、归档。交付的成果数据（包括原始数据）应格式规范、信息完整、结构清晰，便于委托方进行后续的集成分析。所有数据需附有明确的数据说明（如测试方法、条件/误差范围等）。对于测试中可能出现的异常数据点，执行方有义务在交付时予以明确标注。</w:t>
      </w:r>
    </w:p>
    <w:p w14:paraId="4D7F4538">
      <w:pPr>
        <w:snapToGrid w:val="0"/>
        <w:spacing w:line="360" w:lineRule="auto"/>
        <w:ind w:firstLine="560" w:firstLineChars="200"/>
        <w:rPr>
          <w:rFonts w:eastAsia="仿宋"/>
          <w:bCs/>
          <w:sz w:val="28"/>
          <w:szCs w:val="28"/>
        </w:rPr>
      </w:pPr>
      <w:r>
        <w:rPr>
          <w:rFonts w:eastAsia="仿宋"/>
          <w:bCs/>
          <w:sz w:val="28"/>
          <w:szCs w:val="28"/>
        </w:rPr>
        <w:t>3.执行方应指定专门的技术联络人，须与委托方就测试进度、技术难题等方面保持定期沟通。对于测试过程中发现的技术异常或数据疑问，应及时告知并协作解决。在主要分析阶段结束后，应能提供简明扼要的数据解读。</w:t>
      </w:r>
    </w:p>
    <w:p w14:paraId="4ACF3F97">
      <w:pPr>
        <w:snapToGrid w:val="0"/>
        <w:spacing w:line="360" w:lineRule="auto"/>
        <w:ind w:firstLine="560" w:firstLineChars="200"/>
        <w:rPr>
          <w:rFonts w:eastAsia="仿宋"/>
          <w:bCs/>
          <w:sz w:val="28"/>
          <w:szCs w:val="28"/>
        </w:rPr>
      </w:pPr>
      <w:r>
        <w:rPr>
          <w:rFonts w:eastAsia="仿宋"/>
          <w:bCs/>
          <w:sz w:val="28"/>
          <w:szCs w:val="28"/>
        </w:rPr>
        <w:t>4.各项测试分析工作需服务于项目整体研究目标。执行方在技术实施中应考虑多源数据间的关联性与可比性，确保最终交付的各项数据成果能有效支撑委托方进行多指标综合对比、统计分析与机制构建。</w:t>
      </w:r>
    </w:p>
    <w:p w14:paraId="27D83083">
      <w:pPr>
        <w:snapToGrid w:val="0"/>
        <w:spacing w:line="360" w:lineRule="auto"/>
        <w:ind w:firstLine="560" w:firstLineChars="200"/>
        <w:rPr>
          <w:rFonts w:eastAsia="仿宋"/>
          <w:bCs/>
          <w:sz w:val="28"/>
          <w:szCs w:val="28"/>
        </w:rPr>
      </w:pPr>
      <w:r>
        <w:rPr>
          <w:rFonts w:eastAsia="仿宋"/>
          <w:bCs/>
          <w:sz w:val="28"/>
          <w:szCs w:val="28"/>
        </w:rPr>
        <w:t>（四）经费控制数</w:t>
      </w:r>
    </w:p>
    <w:p w14:paraId="6B322C6C">
      <w:pPr>
        <w:snapToGrid w:val="0"/>
        <w:spacing w:line="360" w:lineRule="auto"/>
        <w:ind w:firstLine="560" w:firstLineChars="200"/>
        <w:rPr>
          <w:rFonts w:eastAsia="仿宋"/>
          <w:bCs/>
          <w:sz w:val="28"/>
          <w:szCs w:val="28"/>
        </w:rPr>
      </w:pPr>
      <w:r>
        <w:rPr>
          <w:rFonts w:eastAsia="仿宋"/>
          <w:bCs/>
          <w:sz w:val="28"/>
          <w:szCs w:val="28"/>
        </w:rPr>
        <w:t>37万元。</w:t>
      </w:r>
    </w:p>
    <w:p w14:paraId="7305440B">
      <w:pPr>
        <w:snapToGrid w:val="0"/>
        <w:spacing w:line="360" w:lineRule="auto"/>
        <w:ind w:firstLine="560" w:firstLineChars="200"/>
        <w:rPr>
          <w:rFonts w:eastAsia="仿宋"/>
          <w:bCs/>
          <w:sz w:val="28"/>
          <w:szCs w:val="28"/>
        </w:rPr>
      </w:pPr>
      <w:r>
        <w:rPr>
          <w:rFonts w:eastAsia="仿宋"/>
          <w:bCs/>
          <w:sz w:val="28"/>
          <w:szCs w:val="28"/>
        </w:rPr>
        <w:t>（五）实施周期</w:t>
      </w:r>
    </w:p>
    <w:p w14:paraId="3A38AF87">
      <w:pPr>
        <w:adjustRightInd w:val="0"/>
        <w:snapToGrid w:val="0"/>
        <w:spacing w:line="540" w:lineRule="exact"/>
        <w:ind w:firstLine="560" w:firstLineChars="200"/>
        <w:rPr>
          <w:rFonts w:hint="eastAsia" w:ascii="仿宋" w:hAnsi="仿宋" w:eastAsia="仿宋"/>
          <w:kern w:val="32"/>
          <w:lang w:val="en-US" w:eastAsia="zh-CN"/>
        </w:rPr>
      </w:pPr>
      <w:r>
        <w:rPr>
          <w:rFonts w:hint="eastAsia" w:eastAsia="仿宋"/>
          <w:sz w:val="28"/>
          <w:szCs w:val="28"/>
        </w:rPr>
        <w:t>实施周期：合同签订生效之日起至 2026 年 12 月 31 日，核心工作节点需满足委托方进度要求</w:t>
      </w:r>
      <w:r>
        <w:rPr>
          <w:rFonts w:hint="eastAsia" w:eastAsia="仿宋"/>
          <w:sz w:val="28"/>
          <w:szCs w:val="28"/>
          <w:lang w:eastAsia="zh-CN"/>
        </w:rPr>
        <w:t>。</w:t>
      </w:r>
    </w:p>
    <w:p w14:paraId="53910AAA">
      <w:pPr>
        <w:adjustRightInd w:val="0"/>
        <w:snapToGrid w:val="0"/>
        <w:spacing w:line="540" w:lineRule="exact"/>
        <w:rPr>
          <w:rFonts w:hint="eastAsia" w:ascii="仿宋" w:hAnsi="仿宋" w:eastAsia="仿宋"/>
          <w:kern w:val="32"/>
        </w:rPr>
      </w:pPr>
    </w:p>
    <w:p w14:paraId="3CFC48E3">
      <w:pPr>
        <w:adjustRightInd w:val="0"/>
        <w:snapToGrid w:val="0"/>
        <w:spacing w:line="540" w:lineRule="exact"/>
        <w:rPr>
          <w:rFonts w:hint="eastAsia" w:ascii="仿宋" w:hAnsi="仿宋" w:eastAsia="仿宋"/>
          <w:kern w:val="32"/>
        </w:rPr>
      </w:pPr>
    </w:p>
    <w:p w14:paraId="0ACCE506">
      <w:pPr>
        <w:adjustRightInd w:val="0"/>
        <w:snapToGrid w:val="0"/>
        <w:spacing w:line="540" w:lineRule="exact"/>
        <w:rPr>
          <w:rFonts w:hint="eastAsia" w:ascii="仿宋" w:hAnsi="仿宋" w:eastAsia="仿宋"/>
          <w:kern w:val="32"/>
        </w:rPr>
      </w:pPr>
    </w:p>
    <w:p w14:paraId="52B3E337">
      <w:pPr>
        <w:adjustRightInd w:val="0"/>
        <w:snapToGrid w:val="0"/>
        <w:spacing w:line="540" w:lineRule="exact"/>
        <w:rPr>
          <w:rFonts w:hint="eastAsia" w:ascii="仿宋" w:hAnsi="仿宋" w:eastAsia="仿宋"/>
          <w:kern w:val="32"/>
        </w:rPr>
      </w:pPr>
    </w:p>
    <w:p w14:paraId="7684AEC6">
      <w:pPr>
        <w:adjustRightInd w:val="0"/>
        <w:snapToGrid w:val="0"/>
        <w:spacing w:line="540" w:lineRule="exact"/>
        <w:rPr>
          <w:rFonts w:hint="eastAsia" w:ascii="仿宋" w:hAnsi="仿宋" w:eastAsia="仿宋"/>
          <w:kern w:val="32"/>
        </w:rPr>
      </w:pPr>
    </w:p>
    <w:p w14:paraId="2E2DDD18">
      <w:pPr>
        <w:adjustRightInd w:val="0"/>
        <w:snapToGrid w:val="0"/>
        <w:spacing w:line="540" w:lineRule="exact"/>
        <w:rPr>
          <w:rFonts w:hint="eastAsia" w:ascii="仿宋" w:hAnsi="仿宋" w:eastAsia="仿宋"/>
          <w:kern w:val="32"/>
        </w:rPr>
      </w:pPr>
    </w:p>
    <w:p w14:paraId="347EE854">
      <w:pPr>
        <w:adjustRightInd w:val="0"/>
        <w:snapToGrid w:val="0"/>
        <w:spacing w:line="540" w:lineRule="exact"/>
        <w:rPr>
          <w:rFonts w:hint="eastAsia" w:ascii="仿宋" w:hAnsi="仿宋" w:eastAsia="仿宋"/>
          <w:kern w:val="32"/>
        </w:rPr>
      </w:pPr>
    </w:p>
    <w:p w14:paraId="5CC540F9">
      <w:pPr>
        <w:adjustRightInd w:val="0"/>
        <w:snapToGrid w:val="0"/>
        <w:spacing w:line="540" w:lineRule="exact"/>
        <w:rPr>
          <w:rFonts w:hint="eastAsia" w:ascii="仿宋" w:hAnsi="仿宋" w:eastAsia="仿宋"/>
          <w:kern w:val="32"/>
        </w:rPr>
      </w:pPr>
    </w:p>
    <w:p w14:paraId="0777B80E">
      <w:pPr>
        <w:adjustRightInd w:val="0"/>
        <w:snapToGrid w:val="0"/>
        <w:spacing w:line="540" w:lineRule="exact"/>
        <w:rPr>
          <w:rFonts w:hint="eastAsia" w:ascii="仿宋" w:hAnsi="仿宋" w:eastAsia="仿宋"/>
          <w:kern w:val="32"/>
        </w:rPr>
      </w:pPr>
    </w:p>
    <w:p w14:paraId="76619432">
      <w:pPr>
        <w:adjustRightInd w:val="0"/>
        <w:snapToGrid w:val="0"/>
        <w:spacing w:line="540" w:lineRule="exact"/>
        <w:rPr>
          <w:rFonts w:hint="eastAsia" w:ascii="仿宋" w:hAnsi="仿宋" w:eastAsia="仿宋"/>
          <w:kern w:val="32"/>
        </w:rPr>
      </w:pPr>
    </w:p>
    <w:p w14:paraId="5C56C44D">
      <w:pPr>
        <w:adjustRightInd w:val="0"/>
        <w:snapToGrid w:val="0"/>
        <w:spacing w:line="540" w:lineRule="exact"/>
        <w:rPr>
          <w:rFonts w:hint="eastAsia" w:ascii="仿宋" w:hAnsi="仿宋" w:eastAsia="仿宋"/>
          <w:kern w:val="32"/>
        </w:rPr>
      </w:pPr>
    </w:p>
    <w:p w14:paraId="0C0E15EB">
      <w:pPr>
        <w:adjustRightInd w:val="0"/>
        <w:snapToGrid w:val="0"/>
        <w:spacing w:line="540" w:lineRule="exact"/>
        <w:rPr>
          <w:rFonts w:hint="eastAsia" w:ascii="仿宋" w:hAnsi="仿宋" w:eastAsia="仿宋"/>
          <w:kern w:val="32"/>
        </w:rPr>
      </w:pPr>
    </w:p>
    <w:p w14:paraId="7C7FB89D">
      <w:pPr>
        <w:adjustRightInd w:val="0"/>
        <w:snapToGrid w:val="0"/>
        <w:spacing w:line="540" w:lineRule="exact"/>
        <w:rPr>
          <w:rFonts w:hint="eastAsia" w:ascii="仿宋" w:hAnsi="仿宋" w:eastAsia="仿宋"/>
          <w:kern w:val="32"/>
        </w:rPr>
      </w:pPr>
    </w:p>
    <w:p w14:paraId="5C849203">
      <w:pPr>
        <w:widowControl/>
        <w:jc w:val="left"/>
        <w:rPr>
          <w:rFonts w:hint="eastAsia" w:ascii="仿宋" w:hAnsi="仿宋" w:eastAsia="仿宋"/>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crosoft JhengHei">
    <w:altName w:val="方正书宋_GBK"/>
    <w:panose1 w:val="020B0604030504040204"/>
    <w:charset w:val="88"/>
    <w:family w:val="swiss"/>
    <w:pitch w:val="default"/>
    <w:sig w:usb0="00000000" w:usb1="00000000" w:usb2="00000016" w:usb3="00000000" w:csb0="00100009"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17896">
    <w:pPr>
      <w:pStyle w:val="6"/>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9F3"/>
    <w:rsid w:val="00077BF4"/>
    <w:rsid w:val="000E1226"/>
    <w:rsid w:val="00122860"/>
    <w:rsid w:val="001E3FC6"/>
    <w:rsid w:val="001F00A1"/>
    <w:rsid w:val="002940ED"/>
    <w:rsid w:val="003B3F1B"/>
    <w:rsid w:val="00402E63"/>
    <w:rsid w:val="00441706"/>
    <w:rsid w:val="00456604"/>
    <w:rsid w:val="00492131"/>
    <w:rsid w:val="004C352E"/>
    <w:rsid w:val="004E5AD3"/>
    <w:rsid w:val="005143C7"/>
    <w:rsid w:val="00552BCC"/>
    <w:rsid w:val="0057328E"/>
    <w:rsid w:val="00575323"/>
    <w:rsid w:val="006D5EAE"/>
    <w:rsid w:val="006F09F3"/>
    <w:rsid w:val="0071599A"/>
    <w:rsid w:val="007A51BF"/>
    <w:rsid w:val="008402AA"/>
    <w:rsid w:val="00887517"/>
    <w:rsid w:val="008C2F55"/>
    <w:rsid w:val="008C4BCE"/>
    <w:rsid w:val="009921BC"/>
    <w:rsid w:val="009B4E2B"/>
    <w:rsid w:val="009C33E9"/>
    <w:rsid w:val="00A2169F"/>
    <w:rsid w:val="00A31BCB"/>
    <w:rsid w:val="00B207A8"/>
    <w:rsid w:val="00C7477A"/>
    <w:rsid w:val="00CD50D8"/>
    <w:rsid w:val="00CF02C8"/>
    <w:rsid w:val="00CF3F98"/>
    <w:rsid w:val="00D87C6C"/>
    <w:rsid w:val="00E15FC8"/>
    <w:rsid w:val="00E73EB2"/>
    <w:rsid w:val="00E76B38"/>
    <w:rsid w:val="00EE50C3"/>
    <w:rsid w:val="6FAFD33C"/>
    <w:rsid w:val="7B0813ED"/>
    <w:rsid w:val="AEBE9B02"/>
    <w:rsid w:val="AFF6EF13"/>
    <w:rsid w:val="F6FB1BF4"/>
    <w:rsid w:val="FF5813E2"/>
    <w:rsid w:val="FFFBB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link w:val="14"/>
    <w:qFormat/>
    <w:uiPriority w:val="0"/>
    <w:pPr>
      <w:keepNext/>
      <w:keepLines/>
      <w:spacing w:before="260" w:after="260" w:line="416" w:lineRule="auto"/>
      <w:jc w:val="center"/>
      <w:outlineLvl w:val="1"/>
    </w:pPr>
    <w:rPr>
      <w:rFonts w:ascii="楷体_GB2312" w:hAnsi="Arial" w:eastAsia="楷体_GB2312"/>
      <w:b/>
      <w:sz w:val="32"/>
      <w:szCs w:val="2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style>
  <w:style w:type="paragraph" w:styleId="4">
    <w:name w:val="Body Text"/>
    <w:basedOn w:val="1"/>
    <w:link w:val="16"/>
    <w:qFormat/>
    <w:uiPriority w:val="99"/>
    <w:pPr>
      <w:ind w:left="109"/>
      <w:jc w:val="left"/>
    </w:pPr>
    <w:rPr>
      <w:rFonts w:ascii="Microsoft JhengHei" w:hAnsi="Microsoft JhengHei" w:eastAsia="Microsoft JhengHei"/>
      <w:kern w:val="0"/>
      <w:sz w:val="24"/>
      <w:lang w:eastAsia="en-US"/>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unhideWhenUsed/>
    <w:qFormat/>
    <w:uiPriority w:val="39"/>
    <w:pPr>
      <w:tabs>
        <w:tab w:val="right" w:leader="dot" w:pos="8302"/>
      </w:tabs>
    </w:pPr>
  </w:style>
  <w:style w:type="paragraph" w:styleId="8">
    <w:name w:val="toc 2"/>
    <w:basedOn w:val="1"/>
    <w:next w:val="1"/>
    <w:autoRedefine/>
    <w:unhideWhenUsed/>
    <w:qFormat/>
    <w:uiPriority w:val="39"/>
    <w:pPr>
      <w:ind w:left="420" w:leftChars="200"/>
    </w:pPr>
  </w:style>
  <w:style w:type="character" w:styleId="11">
    <w:name w:val="Hyperlink"/>
    <w:unhideWhenUsed/>
    <w:qFormat/>
    <w:uiPriority w:val="99"/>
    <w:rPr>
      <w:color w:val="0000FF"/>
      <w:u w:val="single"/>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character" w:customStyle="1" w:styleId="14">
    <w:name w:val="标题 2 字符"/>
    <w:basedOn w:val="10"/>
    <w:link w:val="2"/>
    <w:qFormat/>
    <w:uiPriority w:val="0"/>
    <w:rPr>
      <w:rFonts w:ascii="楷体_GB2312" w:hAnsi="Arial" w:eastAsia="楷体_GB2312" w:cs="Times New Roman"/>
      <w:b/>
      <w:sz w:val="32"/>
      <w:szCs w:val="20"/>
    </w:rPr>
  </w:style>
  <w:style w:type="paragraph" w:customStyle="1" w:styleId="15">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16">
    <w:name w:val="正文文本 字符"/>
    <w:basedOn w:val="10"/>
    <w:link w:val="4"/>
    <w:qFormat/>
    <w:uiPriority w:val="99"/>
    <w:rPr>
      <w:rFonts w:ascii="Microsoft JhengHei" w:hAnsi="Microsoft JhengHei" w:eastAsia="Microsoft JhengHei" w:cs="Times New Roman"/>
      <w:sz w:val="24"/>
      <w:szCs w:val="24"/>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1544</Words>
  <Characters>8801</Characters>
  <Lines>73</Lines>
  <Paragraphs>20</Paragraphs>
  <TotalTime>18</TotalTime>
  <ScaleCrop>false</ScaleCrop>
  <LinksUpToDate>false</LinksUpToDate>
  <CharactersWithSpaces>10325</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2026-01-27T10:35:00Z</dcterms:created>
  <dc:creator>ZLT</dc:creator>
  <cp:lastModifiedBy>qinlin</cp:lastModifiedBy>
  <dcterms:modified xsi:type="dcterms:W3CDTF">2026-03-31T08:34:25Z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eyJoZGlkIjoiOWFiNDljNGMxNzFhYTFkMzgwOGQyYmQ0MTE0ZjgxMzUiLCJ1c2VySWQiOiIyOTk2MDAyMTQifQ==</vt:lpwstr>
  </property>
  <property fmtid="{D5CDD505-2E9C-101B-9397-08002B2CF9AE}" pid="3" name="KSOProductBuildVer">
    <vt:lpwstr>2052-12.1.2.22550</vt:lpwstr>
  </property>
  <property fmtid="{D5CDD505-2E9C-101B-9397-08002B2CF9AE}" pid="4" name="ICV">
    <vt:lpwstr>25B9F30214479D0457589E69F7A973FD_43</vt:lpwstr>
  </property>
</Properties>
</file>